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3E" w:rsidRDefault="000B4BAD" w:rsidP="000B4BAD">
      <w:pPr>
        <w:jc w:val="center"/>
        <w:rPr>
          <w:sz w:val="28"/>
        </w:rPr>
      </w:pPr>
      <w:r w:rsidRPr="000B4BAD">
        <w:rPr>
          <w:sz w:val="28"/>
        </w:rPr>
        <w:t xml:space="preserve">Информация об исполнении целевых показателей по муниципальным программам </w:t>
      </w:r>
      <w:r w:rsidRPr="00E35C94">
        <w:rPr>
          <w:sz w:val="28"/>
        </w:rPr>
        <w:t xml:space="preserve">за </w:t>
      </w:r>
      <w:r w:rsidRPr="000B4BAD">
        <w:rPr>
          <w:sz w:val="28"/>
        </w:rPr>
        <w:t>202</w:t>
      </w:r>
      <w:r w:rsidR="008C7C85">
        <w:rPr>
          <w:sz w:val="28"/>
        </w:rPr>
        <w:t>2</w:t>
      </w:r>
      <w:r w:rsidR="00E35C94">
        <w:rPr>
          <w:sz w:val="28"/>
        </w:rPr>
        <w:t xml:space="preserve"> год</w:t>
      </w:r>
    </w:p>
    <w:p w:rsidR="000B4BAD" w:rsidRDefault="000B4BAD" w:rsidP="000B4BAD">
      <w:pPr>
        <w:jc w:val="center"/>
        <w:rPr>
          <w:sz w:val="28"/>
        </w:rPr>
      </w:pPr>
    </w:p>
    <w:p w:rsidR="008C7C85" w:rsidRDefault="008C7C85" w:rsidP="000B4BAD">
      <w:pPr>
        <w:rPr>
          <w:sz w:val="28"/>
        </w:rPr>
      </w:pPr>
      <w:r w:rsidRPr="008C7C85">
        <w:rPr>
          <w:sz w:val="28"/>
        </w:rPr>
        <w:t>В течение 2022 года в городе осуществляли реализацию 21 муниципальная программа.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 xml:space="preserve">Исполнение по муниципальным программам за отчетный период за счет бюджетных средств составило </w:t>
      </w:r>
      <w:r w:rsidR="008C7C85" w:rsidRPr="008C7C85">
        <w:rPr>
          <w:sz w:val="28"/>
        </w:rPr>
        <w:t xml:space="preserve">4 351 858,3 </w:t>
      </w:r>
      <w:r w:rsidRPr="000B4BAD">
        <w:rPr>
          <w:sz w:val="28"/>
        </w:rPr>
        <w:t>тысяч рублей, что составляет</w:t>
      </w:r>
      <w:r w:rsidR="00C22DC0">
        <w:rPr>
          <w:sz w:val="28"/>
        </w:rPr>
        <w:t xml:space="preserve"> (Приложение 1)</w:t>
      </w:r>
      <w:r w:rsidRPr="000B4BAD">
        <w:rPr>
          <w:sz w:val="28"/>
        </w:rPr>
        <w:t>: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- 9</w:t>
      </w:r>
      <w:r w:rsidR="008C7C85">
        <w:rPr>
          <w:sz w:val="28"/>
        </w:rPr>
        <w:t>2,1</w:t>
      </w:r>
      <w:r w:rsidRPr="000B4BAD">
        <w:rPr>
          <w:sz w:val="28"/>
        </w:rPr>
        <w:t>% - к плану по бюджету на 2022 год;</w:t>
      </w:r>
    </w:p>
    <w:p w:rsidR="000B4BAD" w:rsidRDefault="000B4BAD" w:rsidP="000B4BAD">
      <w:pPr>
        <w:rPr>
          <w:sz w:val="28"/>
        </w:rPr>
      </w:pPr>
      <w:r w:rsidRPr="000B4BAD">
        <w:rPr>
          <w:sz w:val="28"/>
        </w:rPr>
        <w:t>- 9</w:t>
      </w:r>
      <w:r w:rsidR="008C7C85">
        <w:rPr>
          <w:sz w:val="28"/>
        </w:rPr>
        <w:t>9</w:t>
      </w:r>
      <w:r w:rsidRPr="000B4BAD">
        <w:rPr>
          <w:sz w:val="28"/>
        </w:rPr>
        <w:t>,</w:t>
      </w:r>
      <w:r w:rsidR="008C7C85">
        <w:rPr>
          <w:sz w:val="28"/>
        </w:rPr>
        <w:t>7</w:t>
      </w:r>
      <w:r w:rsidRPr="000B4BAD">
        <w:rPr>
          <w:sz w:val="28"/>
        </w:rPr>
        <w:t xml:space="preserve">% - к общей сумме поступивших средств из федерального, окружного бюджетов в 2022 году, местному бюджету по состоянию на </w:t>
      </w:r>
      <w:r w:rsidR="00E35C94">
        <w:rPr>
          <w:sz w:val="28"/>
        </w:rPr>
        <w:t>01</w:t>
      </w:r>
      <w:r w:rsidRPr="000B4BAD">
        <w:rPr>
          <w:sz w:val="28"/>
        </w:rPr>
        <w:t>.</w:t>
      </w:r>
      <w:r w:rsidR="00E35C94">
        <w:rPr>
          <w:sz w:val="28"/>
        </w:rPr>
        <w:t>0</w:t>
      </w:r>
      <w:r w:rsidRPr="000B4BAD">
        <w:rPr>
          <w:sz w:val="28"/>
        </w:rPr>
        <w:t>1.202</w:t>
      </w:r>
      <w:r w:rsidR="00E35C94">
        <w:rPr>
          <w:sz w:val="28"/>
        </w:rPr>
        <w:t>3</w:t>
      </w:r>
      <w:r w:rsidRPr="000B4BAD">
        <w:rPr>
          <w:sz w:val="28"/>
        </w:rPr>
        <w:t xml:space="preserve"> года.</w:t>
      </w:r>
    </w:p>
    <w:p w:rsidR="00C22DC0" w:rsidRPr="000B4BAD" w:rsidRDefault="00C22DC0" w:rsidP="000B4BAD">
      <w:pPr>
        <w:rPr>
          <w:sz w:val="28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26"/>
        <w:gridCol w:w="1986"/>
        <w:gridCol w:w="1617"/>
        <w:gridCol w:w="1417"/>
        <w:gridCol w:w="1276"/>
        <w:gridCol w:w="1276"/>
      </w:tblGrid>
      <w:tr w:rsidR="00C22DC0" w:rsidRPr="00C22DC0" w:rsidTr="00C22DC0">
        <w:trPr>
          <w:trHeight w:val="705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Источники </w:t>
            </w: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финансирования, утвержденный решением Думы города Пыть-Ях о бюджете, уточненный план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>Профи</w:t>
            </w: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spellStart"/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>нансировано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>Исполнено</w:t>
            </w: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 отчетную дату</w:t>
            </w:r>
          </w:p>
        </w:tc>
      </w:tr>
      <w:tr w:rsidR="00C22DC0" w:rsidRPr="00C22DC0" w:rsidTr="00C22DC0">
        <w:trPr>
          <w:trHeight w:val="1605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>тыс.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 % к </w:t>
            </w: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общей сумме по бюджету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 % к </w:t>
            </w:r>
            <w:r w:rsidRPr="00C22DC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общей сумме финансирования</w:t>
            </w:r>
          </w:p>
        </w:tc>
      </w:tr>
      <w:tr w:rsidR="00C22DC0" w:rsidRPr="00C22DC0" w:rsidTr="00C22DC0">
        <w:trPr>
          <w:trHeight w:val="57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 xml:space="preserve">Всего </w:t>
            </w:r>
            <w:r w:rsidRPr="00C22DC0">
              <w:rPr>
                <w:rFonts w:eastAsia="Times New Roman" w:cs="Times New Roman"/>
                <w:szCs w:val="24"/>
                <w:lang w:eastAsia="ru-RU"/>
              </w:rPr>
              <w:br/>
              <w:t>по программе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4 726 386,6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4 364 074,2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4 351 858,3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99,7</w:t>
            </w:r>
          </w:p>
        </w:tc>
      </w:tr>
      <w:tr w:rsidR="00C22DC0" w:rsidRPr="00C22DC0" w:rsidTr="00C22DC0">
        <w:trPr>
          <w:trHeight w:val="57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 xml:space="preserve">федеральный </w:t>
            </w:r>
            <w:r w:rsidRPr="00C22DC0">
              <w:rPr>
                <w:rFonts w:eastAsia="Times New Roman" w:cs="Times New Roman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133 372,2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132 463,0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132 463,0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100,0</w:t>
            </w:r>
          </w:p>
        </w:tc>
      </w:tr>
      <w:tr w:rsidR="00C22DC0" w:rsidRPr="00C22DC0" w:rsidTr="00C22DC0">
        <w:trPr>
          <w:trHeight w:val="57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 xml:space="preserve">бюджет </w:t>
            </w:r>
            <w:r w:rsidRPr="00C22DC0">
              <w:rPr>
                <w:rFonts w:eastAsia="Times New Roman" w:cs="Times New Roman"/>
                <w:szCs w:val="24"/>
                <w:lang w:eastAsia="ru-RU"/>
              </w:rPr>
              <w:br/>
              <w:t>автономного округа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1 984 647,4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1 982 565,6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1 970 349,7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99,4</w:t>
            </w:r>
          </w:p>
        </w:tc>
      </w:tr>
      <w:tr w:rsidR="00C22DC0" w:rsidRPr="00C22DC0" w:rsidTr="00C22DC0">
        <w:trPr>
          <w:trHeight w:val="57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местный</w:t>
            </w:r>
            <w:r w:rsidRPr="00C22DC0">
              <w:rPr>
                <w:rFonts w:eastAsia="Times New Roman" w:cs="Times New Roman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2 608 367,0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2 249 045,6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2 249 045,6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100,0</w:t>
            </w:r>
          </w:p>
        </w:tc>
      </w:tr>
      <w:tr w:rsidR="00C22DC0" w:rsidRPr="00C22DC0" w:rsidTr="00C22DC0">
        <w:trPr>
          <w:trHeight w:val="57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C22DC0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C22DC0">
              <w:rPr>
                <w:rFonts w:eastAsia="Times New Roman" w:cs="Times New Roman"/>
                <w:szCs w:val="24"/>
                <w:lang w:eastAsia="ru-RU"/>
              </w:rPr>
              <w:t>. за счет переходящих остатков прошлого года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555 487,3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229 284,1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C22DC0" w:rsidRPr="00C22DC0" w:rsidTr="00C22DC0">
        <w:trPr>
          <w:trHeight w:val="57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внебюджетные</w:t>
            </w:r>
            <w:r w:rsidRPr="00C22DC0">
              <w:rPr>
                <w:rFonts w:eastAsia="Times New Roman" w:cs="Times New Roman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117 409,0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101 804,6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101 804,6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C0" w:rsidRPr="00C22DC0" w:rsidRDefault="00C22DC0" w:rsidP="00C22DC0">
            <w:pPr>
              <w:ind w:firstLine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22DC0">
              <w:rPr>
                <w:rFonts w:eastAsia="Times New Roman" w:cs="Times New Roman"/>
                <w:szCs w:val="24"/>
                <w:lang w:eastAsia="ru-RU"/>
              </w:rPr>
              <w:t>100,0</w:t>
            </w:r>
          </w:p>
        </w:tc>
      </w:tr>
    </w:tbl>
    <w:p w:rsidR="000B4BAD" w:rsidRDefault="000B4BAD" w:rsidP="000B4BAD">
      <w:pPr>
        <w:rPr>
          <w:sz w:val="28"/>
        </w:rPr>
      </w:pP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Из 21 муниципальной программы:</w:t>
      </w:r>
    </w:p>
    <w:p w:rsidR="000B4BAD" w:rsidRPr="00E35C94" w:rsidRDefault="000B4BAD" w:rsidP="000B4BAD">
      <w:pPr>
        <w:rPr>
          <w:sz w:val="28"/>
        </w:rPr>
      </w:pPr>
      <w:r w:rsidRPr="00E35C94">
        <w:rPr>
          <w:sz w:val="28"/>
        </w:rPr>
        <w:t xml:space="preserve">Исполнение ниже </w:t>
      </w:r>
      <w:r w:rsidR="00E35C94" w:rsidRPr="00E35C94">
        <w:rPr>
          <w:sz w:val="28"/>
        </w:rPr>
        <w:t>9</w:t>
      </w:r>
      <w:r w:rsidRPr="00E35C94">
        <w:rPr>
          <w:sz w:val="28"/>
        </w:rPr>
        <w:t xml:space="preserve">0% к плану по бюджету по </w:t>
      </w:r>
      <w:r w:rsidR="00E35C94" w:rsidRPr="00E35C94">
        <w:rPr>
          <w:sz w:val="28"/>
        </w:rPr>
        <w:t>3</w:t>
      </w:r>
      <w:r w:rsidRPr="00E35C94">
        <w:rPr>
          <w:sz w:val="28"/>
        </w:rPr>
        <w:t xml:space="preserve"> программам (развитие физической культуры и спорта, управление муниципальными финансами, управление муниципальным имуществом).</w:t>
      </w:r>
    </w:p>
    <w:p w:rsidR="00C22DC0" w:rsidRDefault="00C22DC0" w:rsidP="000B4BAD">
      <w:pPr>
        <w:rPr>
          <w:sz w:val="28"/>
        </w:rPr>
      </w:pPr>
    </w:p>
    <w:p w:rsidR="000B4BAD" w:rsidRPr="00E35C94" w:rsidRDefault="00C22DC0" w:rsidP="000B4BAD">
      <w:pPr>
        <w:rPr>
          <w:sz w:val="28"/>
        </w:rPr>
      </w:pPr>
      <w:r>
        <w:rPr>
          <w:sz w:val="28"/>
        </w:rPr>
        <w:t>Целевые показатели:</w:t>
      </w:r>
    </w:p>
    <w:p w:rsidR="000B4BAD" w:rsidRPr="00E35C94" w:rsidRDefault="000B4BAD" w:rsidP="000B4BAD">
      <w:pPr>
        <w:rPr>
          <w:sz w:val="28"/>
        </w:rPr>
      </w:pPr>
      <w:r w:rsidRPr="00E35C94">
        <w:rPr>
          <w:sz w:val="28"/>
        </w:rPr>
        <w:t>Оценка степени достижения целевых показателей проведена по 10</w:t>
      </w:r>
      <w:r w:rsidR="00E35C94" w:rsidRPr="00E35C94">
        <w:rPr>
          <w:sz w:val="28"/>
        </w:rPr>
        <w:t>2</w:t>
      </w:r>
      <w:r w:rsidRPr="00E35C94">
        <w:rPr>
          <w:sz w:val="28"/>
        </w:rPr>
        <w:t xml:space="preserve"> показател</w:t>
      </w:r>
      <w:r w:rsidR="00E35C94" w:rsidRPr="00E35C94">
        <w:rPr>
          <w:sz w:val="28"/>
        </w:rPr>
        <w:t>ям</w:t>
      </w:r>
      <w:r w:rsidR="00C22DC0">
        <w:rPr>
          <w:sz w:val="28"/>
        </w:rPr>
        <w:t xml:space="preserve"> (Приложение 2)</w:t>
      </w:r>
      <w:r w:rsidRPr="00E35C94">
        <w:rPr>
          <w:sz w:val="28"/>
        </w:rPr>
        <w:t>:</w:t>
      </w:r>
    </w:p>
    <w:p w:rsidR="000B4BAD" w:rsidRDefault="000B4BAD" w:rsidP="000B4BAD">
      <w:pPr>
        <w:rPr>
          <w:sz w:val="28"/>
        </w:rPr>
      </w:pPr>
      <w:r w:rsidRPr="00E35C94">
        <w:rPr>
          <w:sz w:val="28"/>
        </w:rPr>
        <w:t xml:space="preserve">­ по </w:t>
      </w:r>
      <w:r w:rsidR="00E35C94" w:rsidRPr="00E35C94">
        <w:rPr>
          <w:sz w:val="28"/>
        </w:rPr>
        <w:t>89</w:t>
      </w:r>
      <w:r w:rsidRPr="00E35C94">
        <w:rPr>
          <w:sz w:val="28"/>
        </w:rPr>
        <w:t xml:space="preserve"> показателям достигнуто запланированное годовое значение;</w:t>
      </w:r>
    </w:p>
    <w:p w:rsidR="00B54383" w:rsidRDefault="00B54383" w:rsidP="000B4BAD">
      <w:pPr>
        <w:rPr>
          <w:sz w:val="28"/>
        </w:rPr>
      </w:pPr>
    </w:p>
    <w:p w:rsidR="00B54383" w:rsidRPr="00E35C94" w:rsidRDefault="00B54383" w:rsidP="000B4BAD">
      <w:pPr>
        <w:rPr>
          <w:sz w:val="28"/>
        </w:rPr>
      </w:pPr>
    </w:p>
    <w:p w:rsidR="00E35C94" w:rsidRDefault="00E35C94" w:rsidP="000B4BAD">
      <w:pPr>
        <w:rPr>
          <w:sz w:val="28"/>
        </w:rPr>
      </w:pPr>
      <w:r w:rsidRPr="00E35C94">
        <w:rPr>
          <w:sz w:val="28"/>
        </w:rPr>
        <w:lastRenderedPageBreak/>
        <w:t>­ по 11 показателям фактическое</w:t>
      </w:r>
      <w:r w:rsidR="00C22DC0">
        <w:rPr>
          <w:sz w:val="28"/>
        </w:rPr>
        <w:t xml:space="preserve"> значение составляет 50% и выше</w:t>
      </w:r>
      <w:r w:rsidR="00812500">
        <w:rPr>
          <w:sz w:val="28"/>
        </w:rPr>
        <w:t>:</w:t>
      </w:r>
    </w:p>
    <w:p w:rsidR="00B54383" w:rsidRDefault="00B54383" w:rsidP="000B4BAD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850"/>
        <w:gridCol w:w="851"/>
        <w:gridCol w:w="992"/>
        <w:gridCol w:w="1553"/>
      </w:tblGrid>
      <w:tr w:rsidR="00B54383" w:rsidRPr="00B54383" w:rsidTr="00B54383">
        <w:trPr>
          <w:trHeight w:val="40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Целевые показатели муниципальных программ</w:t>
            </w:r>
          </w:p>
        </w:tc>
      </w:tr>
      <w:tr w:rsidR="00B54383" w:rsidRPr="00B54383" w:rsidTr="00B54383">
        <w:trPr>
          <w:trHeight w:val="945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Показатели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План на 2022 год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Факт на 01.01.2023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% достижения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Примечание</w:t>
            </w: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Развитие образования</w:t>
            </w:r>
          </w:p>
        </w:tc>
      </w:tr>
      <w:tr w:rsidR="00B54383" w:rsidRPr="00B54383" w:rsidTr="00B54383">
        <w:trPr>
          <w:trHeight w:val="1437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96,9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95,8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98,9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Развитие физической культуры и спорта в городе Пыть-Яхе</w:t>
            </w:r>
          </w:p>
        </w:tc>
      </w:tr>
      <w:tr w:rsidR="00B54383" w:rsidRPr="00B54383" w:rsidTr="00B54383">
        <w:trPr>
          <w:trHeight w:val="630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2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Доля граждан, систематически занимающихся физической культурой и спортом, %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58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51,9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89,5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Показатель рассчитывается по итогам года</w:t>
            </w:r>
          </w:p>
        </w:tc>
      </w:tr>
      <w:tr w:rsidR="00B54383" w:rsidRPr="00B54383" w:rsidTr="00B54383">
        <w:trPr>
          <w:trHeight w:val="1035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3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58,6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58,4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99,7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54383" w:rsidRPr="00B54383" w:rsidTr="00B54383">
        <w:trPr>
          <w:trHeight w:val="1354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4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Доля доступных для инвалидов и других маломобильных групп населения объектов физической культуры и спорта в общем количестве объектов физической культуры и спорта (%)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22,2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11,1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50,0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Показатель рассчитывается по итогам года</w:t>
            </w: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Развитие агропромышленного комплекса в городе Пыть-Яхе</w:t>
            </w:r>
          </w:p>
        </w:tc>
      </w:tr>
      <w:tr w:rsidR="00B54383" w:rsidRPr="00B54383" w:rsidTr="00B54383">
        <w:trPr>
          <w:trHeight w:val="982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5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Количество животных без владельцев, прошедших отлов, транспортировку, регистрацию, учет, содержание, лечение (вакцинацию)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179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161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90,0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Экологическая безопасность</w:t>
            </w:r>
          </w:p>
        </w:tc>
      </w:tr>
      <w:tr w:rsidR="00B54383" w:rsidRPr="00B54383" w:rsidTr="00B54383">
        <w:trPr>
          <w:trHeight w:val="375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6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Обеспеченность готовности к реагированию на угрозу или возникновение чрезвычайных ситуаций, эффективности взаимодействия привлекаемых служб и средств для предупреждения и ликвидации чрезвычайных ситуаций на территории городского округа, %.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100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99,6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99,6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Современная транспортная система города Пыть-Яха</w:t>
            </w:r>
          </w:p>
        </w:tc>
      </w:tr>
      <w:tr w:rsidR="00B54383" w:rsidRPr="00B54383" w:rsidTr="00B54383">
        <w:trPr>
          <w:trHeight w:val="2076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7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0,15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0,14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93,3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lastRenderedPageBreak/>
              <w:t>Управление муниципальным имуществом</w:t>
            </w:r>
          </w:p>
        </w:tc>
      </w:tr>
      <w:tr w:rsidR="00B54383" w:rsidRPr="00B54383" w:rsidTr="00B54383">
        <w:trPr>
          <w:trHeight w:val="600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8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Удельный вес неиспользуемого недвижимого имущества в общем количестве   недвижимого имущества муниципального образования, в %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0,8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0,83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96,4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Обратный показатель.</w:t>
            </w: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B54383">
              <w:rPr>
                <w:rFonts w:cs="Times New Roman"/>
                <w:b/>
                <w:bCs/>
                <w:szCs w:val="24"/>
              </w:rPr>
              <w:t>Развитие муниципальной службы в городе Пыть-Яхе</w:t>
            </w:r>
          </w:p>
        </w:tc>
      </w:tr>
      <w:tr w:rsidR="00B54383" w:rsidRPr="00B54383" w:rsidTr="00B54383">
        <w:trPr>
          <w:trHeight w:val="1890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должности, %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70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66,7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95,3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54383" w:rsidRPr="00B54383" w:rsidTr="00B54383">
        <w:trPr>
          <w:trHeight w:val="1575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10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Доля освоенных денежных средств на материально-техническое и организационное обеспечение деятельности органов местного самоуправления города Пыть-Яха и муниципальных учреждений города, %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100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99,2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99,2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Показатель рассчитывается по итогам года</w:t>
            </w:r>
          </w:p>
        </w:tc>
      </w:tr>
      <w:tr w:rsidR="00B54383" w:rsidRPr="00B54383" w:rsidTr="00B54383">
        <w:trPr>
          <w:trHeight w:val="630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11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Количество совершаемых органами ЗАГС юридически значимых действий, ед.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3500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3349</w:t>
            </w:r>
          </w:p>
        </w:tc>
        <w:tc>
          <w:tcPr>
            <w:tcW w:w="992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B54383">
              <w:rPr>
                <w:rFonts w:cs="Times New Roman"/>
                <w:szCs w:val="24"/>
              </w:rPr>
              <w:t>95,7</w:t>
            </w:r>
          </w:p>
        </w:tc>
        <w:tc>
          <w:tcPr>
            <w:tcW w:w="1553" w:type="dxa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</w:tbl>
    <w:p w:rsidR="00812500" w:rsidRPr="00E35C94" w:rsidRDefault="00812500" w:rsidP="00812500">
      <w:pPr>
        <w:ind w:firstLine="0"/>
        <w:rPr>
          <w:sz w:val="28"/>
        </w:rPr>
      </w:pPr>
    </w:p>
    <w:p w:rsidR="000B4BAD" w:rsidRDefault="00E35C94" w:rsidP="000B4BAD">
      <w:pPr>
        <w:rPr>
          <w:sz w:val="28"/>
        </w:rPr>
      </w:pPr>
      <w:r w:rsidRPr="00E35C94">
        <w:rPr>
          <w:sz w:val="28"/>
        </w:rPr>
        <w:t>- по 2 показателям фактическое значение составляет менее 50%</w:t>
      </w:r>
      <w:r w:rsidR="00B54383">
        <w:rPr>
          <w:sz w:val="28"/>
        </w:rPr>
        <w:t xml:space="preserve">: </w:t>
      </w:r>
    </w:p>
    <w:p w:rsidR="00B54383" w:rsidRDefault="00B54383" w:rsidP="00B54383">
      <w:pPr>
        <w:ind w:firstLine="0"/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850"/>
        <w:gridCol w:w="851"/>
        <w:gridCol w:w="1058"/>
        <w:gridCol w:w="1487"/>
      </w:tblGrid>
      <w:tr w:rsidR="00B54383" w:rsidRPr="00B54383" w:rsidTr="00B54383">
        <w:trPr>
          <w:trHeight w:val="40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b/>
                <w:bCs/>
              </w:rPr>
            </w:pPr>
            <w:r w:rsidRPr="00B54383">
              <w:rPr>
                <w:b/>
                <w:bCs/>
              </w:rPr>
              <w:t>Целевые показатели муниципальных программ</w:t>
            </w:r>
          </w:p>
        </w:tc>
      </w:tr>
      <w:tr w:rsidR="00B54383" w:rsidRPr="00B54383" w:rsidTr="00B54383">
        <w:trPr>
          <w:trHeight w:val="630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№ п/п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Показатели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План на 2022 год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Факт на 01.01.2023</w:t>
            </w:r>
          </w:p>
        </w:tc>
        <w:tc>
          <w:tcPr>
            <w:tcW w:w="1058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% достижения</w:t>
            </w:r>
          </w:p>
        </w:tc>
        <w:tc>
          <w:tcPr>
            <w:tcW w:w="1487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Примечание</w:t>
            </w: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b/>
                <w:bCs/>
              </w:rPr>
            </w:pPr>
            <w:r w:rsidRPr="00B54383">
              <w:rPr>
                <w:b/>
                <w:bCs/>
              </w:rPr>
              <w:t>Современная транспортная система города Пыть-Яха</w:t>
            </w:r>
          </w:p>
        </w:tc>
      </w:tr>
      <w:tr w:rsidR="00B54383" w:rsidRPr="00B54383" w:rsidTr="00B54383">
        <w:trPr>
          <w:trHeight w:val="945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1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</w:pPr>
            <w:r w:rsidRPr="00B54383">
              <w:t>Объем пассажирских перевозок автомобильным транспортом в внутригородском сообщении, тыс. чел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1577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745,4</w:t>
            </w:r>
          </w:p>
        </w:tc>
        <w:tc>
          <w:tcPr>
            <w:tcW w:w="1058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47,3</w:t>
            </w:r>
          </w:p>
        </w:tc>
        <w:tc>
          <w:tcPr>
            <w:tcW w:w="1487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</w:p>
        </w:tc>
      </w:tr>
      <w:tr w:rsidR="00B54383" w:rsidRPr="00B54383" w:rsidTr="00B54383">
        <w:trPr>
          <w:trHeight w:val="375"/>
        </w:trPr>
        <w:tc>
          <w:tcPr>
            <w:tcW w:w="9628" w:type="dxa"/>
            <w:gridSpan w:val="6"/>
            <w:hideMark/>
          </w:tcPr>
          <w:p w:rsidR="00B54383" w:rsidRPr="00B54383" w:rsidRDefault="00B54383" w:rsidP="00B54383">
            <w:pPr>
              <w:ind w:firstLine="0"/>
              <w:jc w:val="center"/>
              <w:rPr>
                <w:b/>
                <w:bCs/>
              </w:rPr>
            </w:pPr>
            <w:r w:rsidRPr="00B54383">
              <w:rPr>
                <w:b/>
                <w:bCs/>
              </w:rPr>
              <w:t>Управление муниципальным имуществом</w:t>
            </w:r>
          </w:p>
        </w:tc>
      </w:tr>
      <w:tr w:rsidR="00B54383" w:rsidRPr="00B54383" w:rsidTr="00B54383">
        <w:trPr>
          <w:trHeight w:val="630"/>
        </w:trPr>
        <w:tc>
          <w:tcPr>
            <w:tcW w:w="562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2</w:t>
            </w:r>
          </w:p>
        </w:tc>
        <w:tc>
          <w:tcPr>
            <w:tcW w:w="4820" w:type="dxa"/>
            <w:hideMark/>
          </w:tcPr>
          <w:p w:rsidR="00B54383" w:rsidRPr="00B54383" w:rsidRDefault="00B54383" w:rsidP="00B54383">
            <w:pPr>
              <w:ind w:firstLine="0"/>
            </w:pPr>
            <w:r w:rsidRPr="00B54383">
              <w:t>Обеспечение содержания и эксплуатации муниципального имущества (%)</w:t>
            </w:r>
          </w:p>
        </w:tc>
        <w:tc>
          <w:tcPr>
            <w:tcW w:w="850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100</w:t>
            </w:r>
          </w:p>
        </w:tc>
        <w:tc>
          <w:tcPr>
            <w:tcW w:w="851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47</w:t>
            </w:r>
          </w:p>
        </w:tc>
        <w:tc>
          <w:tcPr>
            <w:tcW w:w="1058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  <w:r w:rsidRPr="00B54383">
              <w:t>47,0</w:t>
            </w:r>
          </w:p>
        </w:tc>
        <w:tc>
          <w:tcPr>
            <w:tcW w:w="1487" w:type="dxa"/>
            <w:hideMark/>
          </w:tcPr>
          <w:p w:rsidR="00B54383" w:rsidRPr="00B54383" w:rsidRDefault="00B54383" w:rsidP="00B54383">
            <w:pPr>
              <w:ind w:firstLine="0"/>
              <w:jc w:val="center"/>
            </w:pPr>
          </w:p>
        </w:tc>
      </w:tr>
    </w:tbl>
    <w:p w:rsidR="00B54383" w:rsidRPr="00E35C94" w:rsidRDefault="00B54383" w:rsidP="000B4BAD">
      <w:pPr>
        <w:rPr>
          <w:sz w:val="28"/>
        </w:rPr>
      </w:pPr>
    </w:p>
    <w:p w:rsidR="000B4BAD" w:rsidRPr="00E35C94" w:rsidRDefault="000B4BAD" w:rsidP="000B4BAD">
      <w:pPr>
        <w:rPr>
          <w:sz w:val="28"/>
        </w:rPr>
      </w:pPr>
      <w:r w:rsidRPr="00E35C94">
        <w:rPr>
          <w:sz w:val="28"/>
        </w:rPr>
        <w:t xml:space="preserve"> Средний процент достижения целевых показателей в целом по всем программам составляет 9</w:t>
      </w:r>
      <w:r w:rsidR="00E35C94" w:rsidRPr="00E35C94">
        <w:rPr>
          <w:sz w:val="28"/>
        </w:rPr>
        <w:t>8</w:t>
      </w:r>
      <w:r w:rsidRPr="00E35C94">
        <w:rPr>
          <w:sz w:val="28"/>
        </w:rPr>
        <w:t>,</w:t>
      </w:r>
      <w:r w:rsidR="00E35C94" w:rsidRPr="00E35C94">
        <w:rPr>
          <w:sz w:val="28"/>
        </w:rPr>
        <w:t>2</w:t>
      </w:r>
      <w:r w:rsidRPr="00E35C94">
        <w:rPr>
          <w:sz w:val="28"/>
        </w:rPr>
        <w:t xml:space="preserve"> % к плану.</w:t>
      </w:r>
      <w:bookmarkStart w:id="0" w:name="_GoBack"/>
      <w:bookmarkEnd w:id="0"/>
    </w:p>
    <w:sectPr w:rsidR="000B4BAD" w:rsidRPr="00E35C94" w:rsidSect="000B4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D"/>
    <w:rsid w:val="000B4BAD"/>
    <w:rsid w:val="002C4ACD"/>
    <w:rsid w:val="00374E22"/>
    <w:rsid w:val="004D1C3E"/>
    <w:rsid w:val="006C1A02"/>
    <w:rsid w:val="00812500"/>
    <w:rsid w:val="008C7C85"/>
    <w:rsid w:val="008C7E02"/>
    <w:rsid w:val="00912FF0"/>
    <w:rsid w:val="009E023A"/>
    <w:rsid w:val="00B54383"/>
    <w:rsid w:val="00C22DC0"/>
    <w:rsid w:val="00E3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2906-7878-43A2-8C91-DC7CAEC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0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E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E2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54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Никитина</dc:creator>
  <cp:keywords/>
  <dc:description/>
  <cp:lastModifiedBy>Ирина Никитина</cp:lastModifiedBy>
  <cp:revision>6</cp:revision>
  <cp:lastPrinted>2023-02-01T11:37:00Z</cp:lastPrinted>
  <dcterms:created xsi:type="dcterms:W3CDTF">2022-11-02T07:22:00Z</dcterms:created>
  <dcterms:modified xsi:type="dcterms:W3CDTF">2023-02-02T05:42:00Z</dcterms:modified>
</cp:coreProperties>
</file>